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方正小标宋简体" w:hAnsi="Times New Roman" w:eastAsia="方正小标宋简体" w:cs="方正小标宋简体"/>
          <w:sz w:val="44"/>
          <w:szCs w:val="44"/>
        </w:rPr>
      </w:pPr>
      <w:r>
        <w:rPr>
          <w:rFonts w:hint="eastAsia" w:ascii="方正小标宋简体" w:hAnsi="Times New Roman" w:eastAsia="方正小标宋简体" w:cs="方正小标宋简体"/>
          <w:sz w:val="44"/>
          <w:szCs w:val="44"/>
          <w:lang w:eastAsia="zh-CN"/>
        </w:rPr>
        <w:t>市科协</w:t>
      </w:r>
      <w:r>
        <w:rPr>
          <w:rFonts w:hint="eastAsia" w:ascii="方正小标宋简体" w:hAnsi="Times New Roman" w:eastAsia="方正小标宋简体" w:cs="方正小标宋简体"/>
          <w:sz w:val="44"/>
          <w:szCs w:val="44"/>
          <w:lang w:val="en-US" w:eastAsia="zh-CN"/>
        </w:rPr>
        <w:t>2022年度</w:t>
      </w:r>
      <w:r>
        <w:rPr>
          <w:rFonts w:hint="eastAsia" w:ascii="方正小标宋简体" w:hAnsi="Times New Roman" w:eastAsia="方正小标宋简体" w:cs="方正小标宋简体"/>
          <w:sz w:val="44"/>
          <w:szCs w:val="44"/>
        </w:rPr>
        <w:t>部门整体绩效自评表</w:t>
      </w:r>
    </w:p>
    <w:p>
      <w:pPr>
        <w:widowControl/>
        <w:jc w:val="center"/>
        <w:rPr>
          <w:rFonts w:ascii="楷体_GB2312" w:hAnsi="仿宋" w:eastAsia="楷体_GB2312" w:cs="楷体_GB2312"/>
          <w:kern w:val="0"/>
          <w:sz w:val="21"/>
          <w:szCs w:val="21"/>
        </w:rPr>
      </w:pPr>
      <w:r>
        <w:rPr>
          <w:rFonts w:hint="eastAsia" w:ascii="楷体_GB2312" w:hAnsi="仿宋" w:eastAsia="楷体_GB2312" w:cs="楷体_GB2312"/>
          <w:kern w:val="0"/>
          <w:sz w:val="21"/>
          <w:szCs w:val="21"/>
        </w:rPr>
        <w:t>部门（一级预算单位）（盖章）：</w:t>
      </w:r>
      <w:r>
        <w:rPr>
          <w:rFonts w:hint="eastAsia" w:ascii="楷体_GB2312" w:hAnsi="仿宋" w:eastAsia="楷体_GB2312" w:cs="楷体_GB2312"/>
          <w:kern w:val="0"/>
          <w:sz w:val="21"/>
          <w:szCs w:val="21"/>
          <w:lang w:eastAsia="zh-CN"/>
        </w:rPr>
        <w:t>荆门市科学技术协会</w:t>
      </w:r>
      <w:r>
        <w:rPr>
          <w:rFonts w:ascii="楷体_GB2312" w:hAnsi="仿宋" w:eastAsia="楷体_GB2312" w:cs="楷体_GB2312"/>
          <w:kern w:val="0"/>
          <w:sz w:val="21"/>
          <w:szCs w:val="21"/>
        </w:rPr>
        <w:t xml:space="preserve">    </w:t>
      </w:r>
      <w:r>
        <w:rPr>
          <w:rFonts w:hint="eastAsia" w:ascii="楷体_GB2312" w:hAnsi="仿宋" w:eastAsia="楷体_GB2312" w:cs="楷体_GB2312"/>
          <w:kern w:val="0"/>
          <w:sz w:val="21"/>
          <w:szCs w:val="21"/>
        </w:rPr>
        <w:t>填报时间：</w:t>
      </w:r>
      <w:r>
        <w:rPr>
          <w:rFonts w:hint="eastAsia" w:ascii="楷体_GB2312" w:hAnsi="仿宋" w:eastAsia="楷体_GB2312" w:cs="楷体_GB2312"/>
          <w:kern w:val="0"/>
          <w:sz w:val="21"/>
          <w:szCs w:val="21"/>
          <w:lang w:val="en-US" w:eastAsia="zh-CN"/>
        </w:rPr>
        <w:t>2023</w:t>
      </w:r>
      <w:r>
        <w:rPr>
          <w:rFonts w:hint="eastAsia" w:ascii="楷体_GB2312" w:hAnsi="仿宋" w:eastAsia="楷体_GB2312" w:cs="楷体_GB2312"/>
          <w:kern w:val="0"/>
          <w:sz w:val="21"/>
          <w:szCs w:val="21"/>
        </w:rPr>
        <w:t>年</w:t>
      </w:r>
      <w:r>
        <w:rPr>
          <w:rFonts w:hint="eastAsia" w:ascii="楷体_GB2312" w:hAnsi="仿宋" w:eastAsia="楷体_GB2312" w:cs="楷体_GB2312"/>
          <w:kern w:val="0"/>
          <w:sz w:val="21"/>
          <w:szCs w:val="21"/>
          <w:lang w:val="en-US" w:eastAsia="zh-CN"/>
        </w:rPr>
        <w:t>6</w:t>
      </w:r>
      <w:r>
        <w:rPr>
          <w:rFonts w:hint="eastAsia" w:ascii="楷体_GB2312" w:hAnsi="仿宋" w:eastAsia="楷体_GB2312" w:cs="楷体_GB2312"/>
          <w:kern w:val="0"/>
          <w:sz w:val="21"/>
          <w:szCs w:val="21"/>
        </w:rPr>
        <w:t>月</w:t>
      </w:r>
      <w:r>
        <w:rPr>
          <w:rFonts w:hint="eastAsia" w:ascii="楷体_GB2312" w:hAnsi="仿宋" w:eastAsia="楷体_GB2312" w:cs="楷体_GB2312"/>
          <w:kern w:val="0"/>
          <w:sz w:val="21"/>
          <w:szCs w:val="21"/>
          <w:lang w:val="en-US" w:eastAsia="zh-CN"/>
        </w:rPr>
        <w:t>26</w:t>
      </w:r>
      <w:r>
        <w:rPr>
          <w:rFonts w:hint="eastAsia" w:ascii="楷体_GB2312" w:hAnsi="仿宋" w:eastAsia="楷体_GB2312" w:cs="楷体_GB2312"/>
          <w:kern w:val="0"/>
          <w:sz w:val="21"/>
          <w:szCs w:val="21"/>
        </w:rPr>
        <w:t>日</w:t>
      </w:r>
    </w:p>
    <w:tbl>
      <w:tblPr>
        <w:tblStyle w:val="2"/>
        <w:tblW w:w="98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574"/>
        <w:gridCol w:w="557"/>
        <w:gridCol w:w="10"/>
        <w:gridCol w:w="600"/>
        <w:gridCol w:w="653"/>
        <w:gridCol w:w="239"/>
        <w:gridCol w:w="205"/>
        <w:gridCol w:w="980"/>
        <w:gridCol w:w="16"/>
        <w:gridCol w:w="693"/>
        <w:gridCol w:w="15"/>
        <w:gridCol w:w="150"/>
        <w:gridCol w:w="399"/>
        <w:gridCol w:w="438"/>
        <w:gridCol w:w="1137"/>
        <w:gridCol w:w="85"/>
        <w:gridCol w:w="627"/>
        <w:gridCol w:w="1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7" w:hRule="atLeast"/>
          <w:jc w:val="center"/>
        </w:trPr>
        <w:tc>
          <w:tcPr>
            <w:tcW w:w="1617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部门职能概述</w:t>
            </w:r>
          </w:p>
        </w:tc>
        <w:tc>
          <w:tcPr>
            <w:tcW w:w="8236" w:type="dxa"/>
            <w:gridSpan w:val="17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rPr>
                <w:rFonts w:ascii="仿宋_GB2312" w:hAnsi="宋体" w:eastAsia="仿宋_GB2312" w:cs="仿宋_GB2312"/>
                <w:kern w:val="0"/>
              </w:rPr>
            </w:pPr>
          </w:p>
          <w:p>
            <w:pPr>
              <w:widowControl/>
              <w:snapToGrid w:val="0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 xml:space="preserve"> 1.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u w:val="single"/>
              </w:rPr>
              <w:t>开展学术交流，活跃学术思想，促进学科发展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；</w:t>
            </w:r>
          </w:p>
          <w:p>
            <w:pPr>
              <w:widowControl/>
              <w:snapToGrid w:val="0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 xml:space="preserve"> 2.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u w:val="single"/>
              </w:rPr>
              <w:t>弘扬科学精神，普及科学知识，表彰奖励优秀科技工作者，举荐人才，传播科学思想和科学方法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；</w:t>
            </w:r>
          </w:p>
          <w:p>
            <w:pPr>
              <w:widowControl/>
              <w:snapToGrid w:val="0"/>
              <w:rPr>
                <w:rFonts w:hint="eastAsia"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 xml:space="preserve"> 3.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u w:val="single"/>
              </w:rPr>
              <w:t>捍卫科学尊严，推广先进技术，开展青少年科学技术教育活动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；</w:t>
            </w:r>
          </w:p>
          <w:p>
            <w:pPr>
              <w:widowControl/>
              <w:snapToGrid w:val="0"/>
              <w:rPr>
                <w:rFonts w:hint="eastAsia"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4</w:t>
            </w:r>
            <w:r>
              <w:rPr>
                <w:rFonts w:ascii="仿宋_GB2312" w:hAnsi="宋体" w:eastAsia="仿宋_GB2312" w:cs="仿宋_GB2312"/>
                <w:kern w:val="0"/>
              </w:rPr>
              <w:t>.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u w:val="single"/>
              </w:rPr>
              <w:t>反映科学技术工作者的意见和要求，维护科学技术工作者的合法权益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；</w:t>
            </w:r>
          </w:p>
          <w:p>
            <w:pPr>
              <w:widowControl/>
              <w:snapToGrid w:val="0"/>
              <w:rPr>
                <w:rFonts w:hint="eastAsia"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5</w:t>
            </w:r>
            <w:r>
              <w:rPr>
                <w:rFonts w:ascii="仿宋_GB2312" w:hAnsi="宋体" w:eastAsia="仿宋_GB2312" w:cs="仿宋_GB2312"/>
                <w:kern w:val="0"/>
              </w:rPr>
              <w:t>.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u w:val="single"/>
              </w:rPr>
              <w:t>组织科学技术工作者参与科学技术政策、法规制定和国家事务的政治协商、科学决策、民主监督工作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；</w:t>
            </w:r>
          </w:p>
          <w:p>
            <w:pPr>
              <w:widowControl/>
              <w:snapToGrid w:val="0"/>
              <w:rPr>
                <w:rFonts w:hint="eastAsia"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6</w:t>
            </w:r>
            <w:r>
              <w:rPr>
                <w:rFonts w:ascii="仿宋_GB2312" w:hAnsi="宋体" w:eastAsia="仿宋_GB2312" w:cs="仿宋_GB2312"/>
                <w:kern w:val="0"/>
              </w:rPr>
              <w:t>.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u w:val="single"/>
              </w:rPr>
              <w:t>开展科学论证、咨询服务，提出政策建议，促进科学技术成果的转化，开展继续教育和培训工作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；</w:t>
            </w:r>
          </w:p>
          <w:p>
            <w:pPr>
              <w:widowControl/>
              <w:snapToGrid w:val="0"/>
              <w:rPr>
                <w:rFonts w:hint="eastAsia"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7</w:t>
            </w:r>
            <w:r>
              <w:rPr>
                <w:rFonts w:ascii="仿宋_GB2312" w:hAnsi="宋体" w:eastAsia="仿宋_GB2312" w:cs="仿宋_GB2312"/>
                <w:kern w:val="0"/>
              </w:rPr>
              <w:t>.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u w:val="single"/>
              </w:rPr>
              <w:t>开展民间国际科学技术交流活动，发展同国内外的团体和科学技术工作者的友好交往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；</w:t>
            </w:r>
          </w:p>
          <w:p>
            <w:pPr>
              <w:widowControl/>
              <w:snapToGrid w:val="0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部门总体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资金情况</w:t>
            </w:r>
          </w:p>
        </w:tc>
        <w:tc>
          <w:tcPr>
            <w:tcW w:w="2059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当年收入合计</w:t>
            </w:r>
            <w:r>
              <w:rPr>
                <w:rFonts w:eastAsia="仿宋_GB2312" w:cs="仿宋_GB2312" w:asciiTheme="minorHAnsi" w:hAnsiTheme="minorHAnsi"/>
                <w:kern w:val="0"/>
              </w:rPr>
              <w:t>(</w:t>
            </w:r>
            <w:r>
              <w:rPr>
                <w:rFonts w:hint="eastAsia" w:eastAsia="仿宋_GB2312" w:cs="仿宋_GB2312" w:asciiTheme="minorHAnsi" w:hAnsiTheme="minorHAnsi"/>
                <w:kern w:val="0"/>
              </w:rPr>
              <w:t>万元</w:t>
            </w:r>
            <w:r>
              <w:rPr>
                <w:rFonts w:eastAsia="仿宋_GB2312" w:cs="仿宋_GB2312" w:asciiTheme="minorHAnsi" w:hAnsiTheme="minorHAnsi"/>
                <w:kern w:val="0"/>
              </w:rPr>
              <w:t>)</w:t>
            </w:r>
          </w:p>
        </w:tc>
        <w:tc>
          <w:tcPr>
            <w:tcW w:w="2059" w:type="dxa"/>
            <w:gridSpan w:val="6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1055.50</w:t>
            </w:r>
          </w:p>
        </w:tc>
        <w:tc>
          <w:tcPr>
            <w:tcW w:w="2059" w:type="dxa"/>
            <w:gridSpan w:val="4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当年支出合计</w:t>
            </w:r>
            <w:r>
              <w:rPr>
                <w:rFonts w:eastAsia="仿宋_GB2312" w:cs="仿宋_GB2312" w:asciiTheme="minorHAnsi" w:hAnsiTheme="minorHAnsi"/>
                <w:kern w:val="0"/>
              </w:rPr>
              <w:t>(</w:t>
            </w:r>
            <w:r>
              <w:rPr>
                <w:rFonts w:hint="eastAsia" w:eastAsia="仿宋_GB2312" w:cs="仿宋_GB2312" w:asciiTheme="minorHAnsi" w:hAnsiTheme="minorHAnsi"/>
                <w:kern w:val="0"/>
              </w:rPr>
              <w:t>万元</w:t>
            </w:r>
            <w:r>
              <w:rPr>
                <w:rFonts w:eastAsia="仿宋_GB2312" w:cs="仿宋_GB2312" w:asciiTheme="minorHAnsi" w:hAnsiTheme="minorHAnsi"/>
                <w:kern w:val="0"/>
              </w:rPr>
              <w:t>)</w:t>
            </w:r>
          </w:p>
        </w:tc>
        <w:tc>
          <w:tcPr>
            <w:tcW w:w="2059" w:type="dxa"/>
            <w:gridSpan w:val="2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965.50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059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　财政拨款</w:t>
            </w:r>
          </w:p>
        </w:tc>
        <w:tc>
          <w:tcPr>
            <w:tcW w:w="2059" w:type="dxa"/>
            <w:gridSpan w:val="6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970.00</w:t>
            </w:r>
          </w:p>
        </w:tc>
        <w:tc>
          <w:tcPr>
            <w:tcW w:w="2059" w:type="dxa"/>
            <w:gridSpan w:val="4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　基本支出</w:t>
            </w:r>
          </w:p>
        </w:tc>
        <w:tc>
          <w:tcPr>
            <w:tcW w:w="2059" w:type="dxa"/>
            <w:gridSpan w:val="2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734.50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059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　其他资金</w:t>
            </w:r>
          </w:p>
        </w:tc>
        <w:tc>
          <w:tcPr>
            <w:tcW w:w="2059" w:type="dxa"/>
            <w:gridSpan w:val="6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85.50</w:t>
            </w:r>
          </w:p>
        </w:tc>
        <w:tc>
          <w:tcPr>
            <w:tcW w:w="2059" w:type="dxa"/>
            <w:gridSpan w:val="4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　项目支出</w:t>
            </w:r>
          </w:p>
        </w:tc>
        <w:tc>
          <w:tcPr>
            <w:tcW w:w="2059" w:type="dxa"/>
            <w:gridSpan w:val="2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231.00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1" w:hRule="atLeast"/>
          <w:jc w:val="center"/>
        </w:trPr>
        <w:tc>
          <w:tcPr>
            <w:tcW w:w="1617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年度工作任务</w:t>
            </w:r>
          </w:p>
        </w:tc>
        <w:tc>
          <w:tcPr>
            <w:tcW w:w="8236" w:type="dxa"/>
            <w:gridSpan w:val="17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</w:p>
          <w:p>
            <w:pPr>
              <w:widowControl/>
              <w:snapToGrid w:val="0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 xml:space="preserve"> 1.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u w:val="single"/>
              </w:rPr>
              <w:t>开展科技助力乡村振兴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；</w:t>
            </w:r>
          </w:p>
          <w:p>
            <w:pPr>
              <w:widowControl/>
              <w:snapToGrid w:val="0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 xml:space="preserve"> 2.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u w:val="single"/>
              </w:rPr>
              <w:t>加强科普基础设施建设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；</w:t>
            </w:r>
          </w:p>
          <w:p>
            <w:pPr>
              <w:widowControl/>
              <w:snapToGrid w:val="0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 xml:space="preserve"> 3.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u w:val="single"/>
              </w:rPr>
              <w:t>依托阵地打造品牌科普活动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；</w:t>
            </w:r>
          </w:p>
          <w:p>
            <w:pPr>
              <w:widowControl/>
              <w:snapToGrid w:val="0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4.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u w:val="single"/>
              </w:rPr>
              <w:t>打造全媒体科普阵地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；</w:t>
            </w:r>
          </w:p>
          <w:p>
            <w:pPr>
              <w:widowControl/>
              <w:snapToGrid w:val="0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5.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u w:val="single"/>
              </w:rPr>
              <w:t>加强“科创中国”创新重点城市建设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；</w:t>
            </w:r>
          </w:p>
          <w:p>
            <w:pPr>
              <w:widowControl/>
              <w:snapToGrid w:val="0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6.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u w:val="single"/>
              </w:rPr>
              <w:t>提高学会服务创新能力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；</w:t>
            </w:r>
          </w:p>
          <w:p>
            <w:pPr>
              <w:widowControl/>
              <w:snapToGrid w:val="0"/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7.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u w:val="single"/>
              </w:rPr>
              <w:t>做实院士专家工作站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；</w:t>
            </w:r>
          </w:p>
          <w:p>
            <w:pPr>
              <w:widowControl/>
              <w:snapToGrid w:val="0"/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8.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u w:val="single"/>
              </w:rPr>
              <w:t>打造科技志愿服务特色品牌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 </w:t>
            </w:r>
          </w:p>
          <w:p>
            <w:pPr>
              <w:widowControl/>
              <w:snapToGrid w:val="0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9.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  <w:u w:val="single"/>
              </w:rPr>
              <w:t>开展科技智库建设</w:t>
            </w:r>
            <w:r>
              <w:rPr>
                <w:rFonts w:ascii="仿宋_GB2312" w:hAnsi="宋体" w:eastAsia="仿宋_GB2312" w:cs="仿宋_GB2312"/>
                <w:kern w:val="0"/>
                <w:u w:val="single"/>
              </w:rPr>
              <w:t xml:space="preserve">  </w:t>
            </w:r>
          </w:p>
          <w:p>
            <w:pPr>
              <w:widowControl/>
              <w:snapToGrid w:val="0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 w:cs="Times New Roman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项目支出情况</w:t>
            </w:r>
          </w:p>
        </w:tc>
        <w:tc>
          <w:tcPr>
            <w:tcW w:w="1167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项目名称</w:t>
            </w:r>
          </w:p>
        </w:tc>
        <w:tc>
          <w:tcPr>
            <w:tcW w:w="1097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项目类型</w:t>
            </w: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总预算</w:t>
            </w:r>
          </w:p>
        </w:tc>
        <w:tc>
          <w:tcPr>
            <w:tcW w:w="1273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本年度预算</w:t>
            </w:r>
          </w:p>
        </w:tc>
        <w:tc>
          <w:tcPr>
            <w:tcW w:w="3719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项目主要支出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方向和用途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67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科普经费</w:t>
            </w:r>
          </w:p>
        </w:tc>
        <w:tc>
          <w:tcPr>
            <w:tcW w:w="1097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发展类</w:t>
            </w: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160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1273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160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3719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科普活动、科普宣传等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67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海智计划</w:t>
            </w:r>
          </w:p>
        </w:tc>
        <w:tc>
          <w:tcPr>
            <w:tcW w:w="1097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发展类</w:t>
            </w: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27</w:t>
            </w:r>
          </w:p>
        </w:tc>
        <w:tc>
          <w:tcPr>
            <w:tcW w:w="1273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27</w:t>
            </w:r>
          </w:p>
        </w:tc>
        <w:tc>
          <w:tcPr>
            <w:tcW w:w="3719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人才交流对接活动等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67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eastAsia="zh-CN"/>
              </w:rPr>
              <w:t>科创中国试点城市建设</w:t>
            </w:r>
          </w:p>
        </w:tc>
        <w:tc>
          <w:tcPr>
            <w:tcW w:w="1097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发展类</w:t>
            </w: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100</w:t>
            </w:r>
          </w:p>
        </w:tc>
        <w:tc>
          <w:tcPr>
            <w:tcW w:w="1273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100</w:t>
            </w:r>
          </w:p>
        </w:tc>
        <w:tc>
          <w:tcPr>
            <w:tcW w:w="3719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建立国家级学会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荆门</w:t>
            </w: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服务站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67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科技馆运行</w:t>
            </w:r>
          </w:p>
        </w:tc>
        <w:tc>
          <w:tcPr>
            <w:tcW w:w="1097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运转类</w:t>
            </w: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12</w:t>
            </w:r>
          </w:p>
        </w:tc>
        <w:tc>
          <w:tcPr>
            <w:tcW w:w="1273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12</w:t>
            </w:r>
          </w:p>
        </w:tc>
        <w:tc>
          <w:tcPr>
            <w:tcW w:w="3719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科技馆活动进校园、免费开放等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17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67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1097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8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73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3719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9853" w:type="dxa"/>
            <w:gridSpan w:val="19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 w:cs="Times New Roman" w:asciiTheme="minorHAnsi" w:hAnsiTheme="minorHAnsi"/>
                <w:kern w:val="0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bCs/>
                <w:kern w:val="0"/>
              </w:rPr>
              <w:t>长期绩效目标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eastAsia="仿宋_GB2312" w:cs="Times New Roman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目标名称</w:t>
            </w:r>
          </w:p>
        </w:tc>
        <w:tc>
          <w:tcPr>
            <w:tcW w:w="1131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一级指标</w:t>
            </w: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二级指标</w:t>
            </w:r>
          </w:p>
        </w:tc>
        <w:tc>
          <w:tcPr>
            <w:tcW w:w="1424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三级指标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单位</w:t>
            </w:r>
          </w:p>
        </w:tc>
        <w:tc>
          <w:tcPr>
            <w:tcW w:w="1002" w:type="dxa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指标值</w:t>
            </w:r>
          </w:p>
        </w:tc>
        <w:tc>
          <w:tcPr>
            <w:tcW w:w="3281" w:type="dxa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指标值确定依据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b/>
                <w:kern w:val="0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</w:rPr>
              <w:t>长期目标1</w:t>
            </w:r>
          </w:p>
        </w:tc>
        <w:tc>
          <w:tcPr>
            <w:tcW w:w="113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成本指标</w:t>
            </w: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  <w:u w:val="single"/>
              </w:rPr>
            </w:pPr>
          </w:p>
        </w:tc>
        <w:tc>
          <w:tcPr>
            <w:tcW w:w="1424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snapToGrid w:val="0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1002" w:type="dxa"/>
            <w:gridSpan w:val="4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3281" w:type="dxa"/>
            <w:gridSpan w:val="4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  <w:u w:val="single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1424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snapToGrid w:val="0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002" w:type="dxa"/>
            <w:gridSpan w:val="4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3281" w:type="dxa"/>
            <w:gridSpan w:val="4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  <w:u w:val="single"/>
              </w:rPr>
            </w:pPr>
          </w:p>
        </w:tc>
        <w:tc>
          <w:tcPr>
            <w:tcW w:w="1424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snapToGrid w:val="0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002" w:type="dxa"/>
            <w:gridSpan w:val="4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3281" w:type="dxa"/>
            <w:gridSpan w:val="4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  <w:u w:val="single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1424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snapToGrid w:val="0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1002" w:type="dxa"/>
            <w:gridSpan w:val="4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3281" w:type="dxa"/>
            <w:gridSpan w:val="4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效益指标</w:t>
            </w: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Times New Roman"/>
                <w:kern w:val="0"/>
                <w:u w:val="singl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社会效益指标</w:t>
            </w:r>
          </w:p>
        </w:tc>
        <w:tc>
          <w:tcPr>
            <w:tcW w:w="1424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eastAsia="仿宋_GB2312" w:cs="Times New Roman" w:asciiTheme="minorHAnsi" w:hAnsiTheme="minorHAnsi"/>
                <w:kern w:val="0"/>
                <w:lang w:eastAsia="zh-CN"/>
              </w:rPr>
            </w:pPr>
            <w:r>
              <w:rPr>
                <w:rFonts w:hint="eastAsia" w:eastAsia="仿宋_GB2312" w:cs="Times New Roman" w:asciiTheme="minorHAnsi" w:hAnsiTheme="minorHAnsi"/>
                <w:kern w:val="0"/>
                <w:sz w:val="18"/>
                <w:szCs w:val="18"/>
                <w:lang w:eastAsia="zh-CN"/>
              </w:rPr>
              <w:t>提升我市公民科学素质比例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snapToGrid w:val="0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%</w:t>
            </w:r>
          </w:p>
        </w:tc>
        <w:tc>
          <w:tcPr>
            <w:tcW w:w="1002" w:type="dxa"/>
            <w:gridSpan w:val="4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≧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16%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328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20" w:lineRule="exact"/>
              <w:jc w:val="left"/>
              <w:textAlignment w:val="auto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  <w:lang w:eastAsia="zh-CN"/>
              </w:rPr>
              <w:t>《荆门市流域综合治理和统筹发展规划任务分工方案》关于科技支撑体系建设等方面工作事项，确保公民具备科学素质比例。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  <w:u w:val="single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1424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eastAsia="仿宋_GB2312" w:cs="Times New Roman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snapToGrid w:val="0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1002" w:type="dxa"/>
            <w:gridSpan w:val="4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3281" w:type="dxa"/>
            <w:gridSpan w:val="4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指标</w:t>
            </w: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424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snapToGrid w:val="0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002" w:type="dxa"/>
            <w:gridSpan w:val="4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3281" w:type="dxa"/>
            <w:gridSpan w:val="4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1424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snapToGrid w:val="0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002" w:type="dxa"/>
            <w:gridSpan w:val="4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3281" w:type="dxa"/>
            <w:gridSpan w:val="4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</w:rPr>
              <w:t>长期目标n</w:t>
            </w:r>
          </w:p>
        </w:tc>
        <w:tc>
          <w:tcPr>
            <w:tcW w:w="1131" w:type="dxa"/>
            <w:gridSpan w:val="2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3" w:type="dxa"/>
            <w:gridSpan w:val="3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424" w:type="dxa"/>
            <w:gridSpan w:val="3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002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328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9853" w:type="dxa"/>
            <w:gridSpan w:val="19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 w:cs="Times New Roman" w:asciiTheme="minorHAnsi" w:hAnsiTheme="minorHAnsi"/>
                <w:b/>
                <w:kern w:val="0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bCs/>
                <w:kern w:val="0"/>
              </w:rPr>
              <w:t>年度绩效目标及完成情况自评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目标名称</w:t>
            </w:r>
          </w:p>
        </w:tc>
        <w:tc>
          <w:tcPr>
            <w:tcW w:w="113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一级指标</w:t>
            </w:r>
          </w:p>
        </w:tc>
        <w:tc>
          <w:tcPr>
            <w:tcW w:w="1263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二级指标</w:t>
            </w:r>
          </w:p>
        </w:tc>
        <w:tc>
          <w:tcPr>
            <w:tcW w:w="1424" w:type="dxa"/>
            <w:gridSpan w:val="3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三级指标</w:t>
            </w:r>
          </w:p>
        </w:tc>
        <w:tc>
          <w:tcPr>
            <w:tcW w:w="724" w:type="dxa"/>
            <w:gridSpan w:val="3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单位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目标值</w:t>
            </w:r>
            <w:r>
              <w:rPr>
                <w:rFonts w:ascii="仿宋_GB2312" w:hAnsi="宋体" w:eastAsia="仿宋_GB2312" w:cs="仿宋_GB2312"/>
                <w:kern w:val="0"/>
              </w:rPr>
              <w:t>(A)</w:t>
            </w:r>
          </w:p>
        </w:tc>
        <w:tc>
          <w:tcPr>
            <w:tcW w:w="3281" w:type="dxa"/>
            <w:gridSpan w:val="4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自评结果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3" w:type="dxa"/>
            <w:gridSpan w:val="3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424" w:type="dxa"/>
            <w:gridSpan w:val="3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24" w:type="dxa"/>
            <w:gridSpan w:val="3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87" w:type="dxa"/>
            <w:gridSpan w:val="3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 w:cs="Times New Roman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完成值</w:t>
            </w:r>
            <w:r>
              <w:rPr>
                <w:rFonts w:eastAsia="仿宋_GB2312" w:cs="Times New Roman" w:asciiTheme="minorHAnsi" w:hAnsiTheme="minorHAnsi"/>
                <w:kern w:val="0"/>
              </w:rPr>
              <w:t>(B)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分值</w:t>
            </w: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b/>
                <w:kern w:val="0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</w:rPr>
              <w:t>年度目标1</w:t>
            </w:r>
          </w:p>
        </w:tc>
        <w:tc>
          <w:tcPr>
            <w:tcW w:w="113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成本指标</w:t>
            </w: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数量指标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eastAsia="zh-CN"/>
              </w:rPr>
              <w:t>重点学术活动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场次</w:t>
            </w: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仿宋_GB2312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≧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5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10</w:t>
            </w: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数量指标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eastAsia="zh-CN"/>
              </w:rPr>
              <w:t>科技创新智库课题数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篇</w:t>
            </w: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≧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5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5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10</w:t>
            </w: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效益指标</w:t>
            </w: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</w:rPr>
              <w:t>　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指标</w:t>
            </w: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满意度指标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eastAsia="zh-CN"/>
              </w:rPr>
              <w:t>服务对象满意度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%</w:t>
            </w: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≧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80%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90%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5</w:t>
            </w: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b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</w:rPr>
              <w:t>年度目标</w:t>
            </w:r>
            <w:r>
              <w:rPr>
                <w:rFonts w:hint="eastAsia" w:ascii="仿宋_GB2312" w:hAnsi="宋体" w:eastAsia="仿宋_GB2312" w:cs="Times New Roman"/>
                <w:b/>
                <w:kern w:val="0"/>
                <w:lang w:val="en-US" w:eastAsia="zh-CN"/>
              </w:rPr>
              <w:t>2</w:t>
            </w:r>
          </w:p>
        </w:tc>
        <w:tc>
          <w:tcPr>
            <w:tcW w:w="113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成本指标</w:t>
            </w: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产出指标</w:t>
            </w: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数量指标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val="en-US" w:eastAsia="zh-CN" w:bidi="ar-SA"/>
              </w:rPr>
              <w:t>举办海外人才交流培训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场次</w:t>
            </w: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仿宋_GB2312" w:hAnsi="宋体" w:eastAsia="宋体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≧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1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</w:rPr>
            </w:pP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数量指标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val="en-US" w:eastAsia="zh-CN" w:bidi="ar-SA"/>
              </w:rPr>
              <w:t>举办海外人才交流对接活动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场次</w:t>
            </w: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仿宋_GB2312" w:hAnsi="宋体" w:eastAsia="宋体" w:cs="仿宋_GB2312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≧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1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效益指标</w:t>
            </w: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</w:rPr>
            </w:pP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指标</w:t>
            </w: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满意度指标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eastAsia="zh-CN"/>
              </w:rPr>
              <w:t>服务对象满意度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%</w:t>
            </w: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≧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80%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90%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5</w:t>
            </w: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b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</w:rPr>
              <w:t>年度目标</w:t>
            </w:r>
            <w:r>
              <w:rPr>
                <w:rFonts w:hint="eastAsia" w:ascii="仿宋_GB2312" w:hAnsi="宋体" w:eastAsia="仿宋_GB2312" w:cs="Times New Roman"/>
                <w:b/>
                <w:kern w:val="0"/>
                <w:lang w:val="en-US" w:eastAsia="zh-CN"/>
              </w:rPr>
              <w:t>3</w:t>
            </w:r>
          </w:p>
        </w:tc>
        <w:tc>
          <w:tcPr>
            <w:tcW w:w="113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成本指标</w:t>
            </w: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数量指标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exact"/>
              <w:jc w:val="center"/>
              <w:textAlignment w:val="auto"/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val="en-US" w:eastAsia="zh-CN" w:bidi="ar-SA"/>
              </w:rPr>
              <w:t>建立国家级学会荆门服务站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个</w:t>
            </w: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≧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2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  <w:lang w:val="en-US" w:eastAsia="zh-CN" w:bidi="ar-SA"/>
              </w:rPr>
              <w:t>20（结存资金已上交市财政）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数量指标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效益指标</w:t>
            </w: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指标</w:t>
            </w: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满意度指标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eastAsia="zh-CN"/>
              </w:rPr>
              <w:t>服务对象满意度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%</w:t>
            </w: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≧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80%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90%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5</w:t>
            </w: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3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b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</w:rPr>
              <w:t>年度目标</w:t>
            </w:r>
            <w:r>
              <w:rPr>
                <w:rFonts w:hint="eastAsia" w:ascii="仿宋_GB2312" w:hAnsi="宋体" w:eastAsia="仿宋_GB2312" w:cs="Times New Roman"/>
                <w:b/>
                <w:kern w:val="0"/>
                <w:lang w:val="en-US" w:eastAsia="zh-CN"/>
              </w:rPr>
              <w:t>4</w:t>
            </w:r>
          </w:p>
        </w:tc>
        <w:tc>
          <w:tcPr>
            <w:tcW w:w="113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成本指标</w:t>
            </w: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b/>
                <w:kern w:val="0"/>
              </w:rPr>
            </w:pPr>
          </w:p>
        </w:tc>
        <w:tc>
          <w:tcPr>
            <w:tcW w:w="113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</w:rPr>
            </w:pP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b/>
                <w:kern w:val="0"/>
              </w:rPr>
            </w:pPr>
          </w:p>
        </w:tc>
        <w:tc>
          <w:tcPr>
            <w:tcW w:w="113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数量指标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val="en-US" w:eastAsia="zh-CN" w:bidi="ar-SA"/>
              </w:rPr>
              <w:t>科技馆活动进校园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次数</w:t>
            </w: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≧10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11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b/>
                <w:kern w:val="0"/>
              </w:rPr>
            </w:pPr>
          </w:p>
        </w:tc>
        <w:tc>
          <w:tcPr>
            <w:tcW w:w="113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</w:rPr>
            </w:pP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数量指标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val="en-US" w:eastAsia="zh-CN" w:bidi="ar-SA"/>
              </w:rPr>
              <w:t>科普大篷车科普五进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次数</w:t>
            </w: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≧</w:t>
            </w: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15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16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b/>
                <w:kern w:val="0"/>
              </w:rPr>
            </w:pPr>
          </w:p>
        </w:tc>
        <w:tc>
          <w:tcPr>
            <w:tcW w:w="113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效益指标</w:t>
            </w: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b/>
                <w:kern w:val="0"/>
              </w:rPr>
            </w:pPr>
          </w:p>
        </w:tc>
        <w:tc>
          <w:tcPr>
            <w:tcW w:w="113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</w:rPr>
            </w:pP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b/>
                <w:kern w:val="0"/>
              </w:rPr>
            </w:pPr>
          </w:p>
        </w:tc>
        <w:tc>
          <w:tcPr>
            <w:tcW w:w="113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指标</w:t>
            </w: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满意度指标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18"/>
                <w:szCs w:val="18"/>
                <w:lang w:eastAsia="zh-CN"/>
              </w:rPr>
              <w:t>服务对象满意度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%</w:t>
            </w: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≧</w:t>
            </w: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80%</w:t>
            </w: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90%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5</w:t>
            </w: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b/>
                <w:kern w:val="0"/>
              </w:rPr>
            </w:pPr>
          </w:p>
        </w:tc>
        <w:tc>
          <w:tcPr>
            <w:tcW w:w="113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</w:rPr>
            </w:pPr>
          </w:p>
        </w:tc>
        <w:tc>
          <w:tcPr>
            <w:tcW w:w="1263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7" w:type="dxa"/>
            <w:gridSpan w:val="3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snapToGrid w:val="0"/>
              <w:jc w:val="righ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9853" w:type="dxa"/>
            <w:gridSpan w:val="19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bCs/>
                <w:kern w:val="0"/>
              </w:rPr>
              <w:t>部门整体支出预算执行情况自评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184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预算数（A</w:t>
            </w:r>
            <w:r>
              <w:rPr>
                <w:rFonts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2693" w:type="dxa"/>
            <w:gridSpan w:val="6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执行数</w:t>
            </w:r>
            <w:r>
              <w:rPr>
                <w:rFonts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</w:rPr>
              <w:t>B</w:t>
            </w:r>
            <w:r>
              <w:rPr>
                <w:rFonts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单位</w:t>
            </w:r>
          </w:p>
        </w:tc>
        <w:tc>
          <w:tcPr>
            <w:tcW w:w="2124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执行率</w:t>
            </w:r>
            <w:r>
              <w:rPr>
                <w:rFonts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</w:rPr>
              <w:t>B</w:t>
            </w:r>
            <w:r>
              <w:rPr>
                <w:rFonts w:ascii="仿宋_GB2312" w:hAnsi="宋体" w:eastAsia="仿宋_GB2312" w:cs="仿宋_GB2312"/>
                <w:kern w:val="0"/>
              </w:rPr>
              <w:t>/</w:t>
            </w:r>
            <w:r>
              <w:rPr>
                <w:rFonts w:hint="eastAsia" w:ascii="仿宋_GB2312" w:hAnsi="宋体" w:eastAsia="仿宋_GB2312" w:cs="仿宋_GB2312"/>
                <w:kern w:val="0"/>
              </w:rPr>
              <w:t>A</w:t>
            </w:r>
            <w:r>
              <w:rPr>
                <w:rFonts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分值</w:t>
            </w: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184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1055.50</w:t>
            </w:r>
          </w:p>
        </w:tc>
        <w:tc>
          <w:tcPr>
            <w:tcW w:w="2693" w:type="dxa"/>
            <w:gridSpan w:val="6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965.50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万元</w:t>
            </w:r>
          </w:p>
        </w:tc>
        <w:tc>
          <w:tcPr>
            <w:tcW w:w="2124" w:type="dxa"/>
            <w:gridSpan w:val="4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91.47%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0</w:t>
            </w:r>
          </w:p>
        </w:tc>
        <w:tc>
          <w:tcPr>
            <w:tcW w:w="1432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184" w:type="dxa"/>
            <w:gridSpan w:val="4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bCs/>
                <w:kern w:val="0"/>
              </w:rPr>
              <w:t>总分</w:t>
            </w:r>
          </w:p>
        </w:tc>
        <w:tc>
          <w:tcPr>
            <w:tcW w:w="7669" w:type="dxa"/>
            <w:gridSpan w:val="15"/>
            <w:shd w:val="clear" w:color="auto" w:fill="E7E6E6" w:themeFill="background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0" w:hRule="atLeast"/>
          <w:jc w:val="center"/>
        </w:trPr>
        <w:tc>
          <w:tcPr>
            <w:tcW w:w="2184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原因分析</w:t>
            </w:r>
          </w:p>
        </w:tc>
        <w:tc>
          <w:tcPr>
            <w:tcW w:w="7669" w:type="dxa"/>
            <w:gridSpan w:val="15"/>
            <w:shd w:val="clear" w:color="auto" w:fill="auto"/>
            <w:vAlign w:val="center"/>
          </w:tcPr>
          <w:p>
            <w:pPr>
              <w:widowControl/>
              <w:snapToGrid w:val="0"/>
              <w:ind w:firstLine="420" w:firstLineChars="200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提升我市公民科学素质比例，是一个长期而艰巨的过程，短期内难以见到成效，国家委托第三方机构每五年测评一次，年度绩效目标不明显。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4" w:hRule="atLeast"/>
          <w:jc w:val="center"/>
        </w:trPr>
        <w:tc>
          <w:tcPr>
            <w:tcW w:w="2184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结果应用方案</w:t>
            </w:r>
          </w:p>
        </w:tc>
        <w:tc>
          <w:tcPr>
            <w:tcW w:w="7669" w:type="dxa"/>
            <w:gridSpan w:val="15"/>
            <w:shd w:val="clear" w:color="auto" w:fill="auto"/>
            <w:vAlign w:val="center"/>
          </w:tcPr>
          <w:p>
            <w:pPr>
              <w:widowControl/>
              <w:snapToGrid w:val="0"/>
              <w:ind w:firstLine="420" w:firstLineChars="200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结合本单位业</w:t>
            </w:r>
            <w:bookmarkStart w:id="0" w:name="_GoBack"/>
            <w:bookmarkEnd w:id="0"/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务职能工作实际，科学、规范、合理地编制可量化考核的绩效指标，并加以完成。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1" w:hRule="atLeast"/>
          <w:jc w:val="center"/>
        </w:trPr>
        <w:tc>
          <w:tcPr>
            <w:tcW w:w="2184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预算单位</w:t>
            </w:r>
          </w:p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负责同志意见</w:t>
            </w:r>
          </w:p>
        </w:tc>
        <w:tc>
          <w:tcPr>
            <w:tcW w:w="7669" w:type="dxa"/>
            <w:gridSpan w:val="15"/>
            <w:shd w:val="clear" w:color="auto" w:fill="auto"/>
            <w:vAlign w:val="center"/>
          </w:tcPr>
          <w:p>
            <w:pPr>
              <w:widowControl/>
              <w:snapToGrid w:val="0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6" w:hRule="atLeast"/>
          <w:jc w:val="center"/>
        </w:trPr>
        <w:tc>
          <w:tcPr>
            <w:tcW w:w="2184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部门（一级预算单位）负责同志审签意见</w:t>
            </w:r>
          </w:p>
        </w:tc>
        <w:tc>
          <w:tcPr>
            <w:tcW w:w="7669" w:type="dxa"/>
            <w:gridSpan w:val="15"/>
            <w:shd w:val="clear" w:color="auto" w:fill="auto"/>
            <w:vAlign w:val="center"/>
          </w:tcPr>
          <w:p>
            <w:pPr>
              <w:widowControl/>
              <w:snapToGrid w:val="0"/>
              <w:rPr>
                <w:rFonts w:ascii="仿宋_GB2312" w:hAnsi="宋体" w:eastAsia="仿宋_GB2312" w:cs="仿宋_GB2312"/>
                <w:kern w:val="0"/>
              </w:rPr>
            </w:pPr>
          </w:p>
        </w:tc>
      </w:tr>
    </w:tbl>
    <w:p>
      <w:pPr>
        <w:ind w:firstLine="640" w:firstLineChars="200"/>
        <w:rPr>
          <w:rFonts w:ascii="仿宋_GB2312" w:eastAsia="仿宋_GB2312" w:cs="仿宋_GB2312"/>
          <w:sz w:val="32"/>
          <w:szCs w:val="32"/>
        </w:rPr>
      </w:pPr>
    </w:p>
    <w:p/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hMmNjYzlkZGJhMjkyZDI4OGMzNzE4Y2YyN2NhYTcifQ=="/>
  </w:docVars>
  <w:rsids>
    <w:rsidRoot w:val="225F3D7E"/>
    <w:rsid w:val="063C796E"/>
    <w:rsid w:val="225F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2023-11-09T02:50:00Z</dcterms:created>
  <dc:creator>玫</dc:creator>
  <cp:lastModifiedBy>玫</cp:lastModifiedBy>
  <dcterms:modified xsi:type="dcterms:W3CDTF">2023-11-09T02:52:47Z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F403E7B688C448B79B197F88A2D44281_11</vt:lpwstr>
  </property>
</Properties>
</file>